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 -->
  <w:body>
    <w:p w:rsidR="004251A3" w:rsidRPr="007A28B7" w:rsidP="00A176BD" w14:paraId="5498034E" w14:textId="77777777">
      <w:pPr>
        <w:pStyle w:val="ListParagraph"/>
        <w:numPr>
          <w:ilvl w:val="0"/>
          <w:numId w:val="6"/>
        </w:numPr>
        <w:tabs>
          <w:tab w:val="left" w:pos="270"/>
          <w:tab w:val="left" w:pos="900"/>
        </w:tabs>
        <w:ind w:left="284" w:hanging="284"/>
        <w:jc w:val="both"/>
        <w:rPr>
          <w:rFonts w:ascii="Arial" w:hAnsi="Arial" w:cs="Arial"/>
          <w:sz w:val="22"/>
          <w:szCs w:val="22"/>
        </w:rPr>
      </w:pPr>
      <w:r w:rsidRPr="007A28B7">
        <w:rPr>
          <w:rFonts w:ascii="Arial" w:hAnsi="Arial" w:cs="Arial"/>
          <w:b/>
          <w:sz w:val="22"/>
          <w:szCs w:val="22"/>
        </w:rPr>
        <w:t xml:space="preserve">KESİNTİ TALEP SAHİBİ </w:t>
      </w:r>
      <w:r w:rsidRPr="007A28B7" w:rsidR="00650305">
        <w:rPr>
          <w:rFonts w:ascii="Arial" w:hAnsi="Arial" w:cs="Arial"/>
          <w:sz w:val="22"/>
          <w:szCs w:val="22"/>
        </w:rPr>
        <w:t xml:space="preserve">işe başlamadan en az 10 gün önce, yapılacak çalışmanın zaman ve süresinin belirtildiği bir iş programını </w:t>
      </w:r>
      <w:r w:rsidRPr="007A28B7" w:rsidR="00650305">
        <w:rPr>
          <w:rFonts w:ascii="Arial" w:hAnsi="Arial" w:cs="Arial"/>
          <w:b/>
          <w:sz w:val="22"/>
          <w:szCs w:val="22"/>
        </w:rPr>
        <w:t>SEDAŞ</w:t>
      </w:r>
      <w:r w:rsidRPr="007A28B7" w:rsidR="00650305">
        <w:rPr>
          <w:rFonts w:ascii="Arial" w:hAnsi="Arial" w:cs="Arial"/>
          <w:sz w:val="22"/>
          <w:szCs w:val="22"/>
        </w:rPr>
        <w:t xml:space="preserve">' a teslim edecektir. Bu iş programı öncelikle </w:t>
      </w:r>
      <w:r w:rsidRPr="007A28B7" w:rsidR="00650305">
        <w:rPr>
          <w:rFonts w:ascii="Arial" w:hAnsi="Arial" w:cs="Arial"/>
          <w:b/>
          <w:sz w:val="22"/>
          <w:szCs w:val="22"/>
        </w:rPr>
        <w:t>SEDAŞ</w:t>
      </w:r>
      <w:r w:rsidRPr="007A28B7" w:rsidR="00650305">
        <w:rPr>
          <w:rFonts w:ascii="Arial" w:hAnsi="Arial" w:cs="Arial"/>
          <w:sz w:val="22"/>
          <w:szCs w:val="22"/>
        </w:rPr>
        <w:t xml:space="preserve"> tarafından incelenip onaylanacaktır. Bu programda her hangi bir aksaklık olduğunda, aksaklığın detayları ve giderilme planı anında </w:t>
      </w:r>
      <w:r w:rsidRPr="007A28B7" w:rsidR="00650305">
        <w:rPr>
          <w:rFonts w:ascii="Arial" w:hAnsi="Arial" w:cs="Arial"/>
          <w:b/>
          <w:sz w:val="22"/>
          <w:szCs w:val="22"/>
        </w:rPr>
        <w:t>SEDAŞ</w:t>
      </w:r>
      <w:r w:rsidRPr="007A28B7" w:rsidR="00650305">
        <w:rPr>
          <w:rFonts w:ascii="Arial" w:hAnsi="Arial" w:cs="Arial"/>
          <w:sz w:val="22"/>
          <w:szCs w:val="22"/>
        </w:rPr>
        <w:t>' a yazılı olarak bildirilecektir.</w:t>
      </w:r>
    </w:p>
    <w:p w:rsidR="003E52EA" w:rsidRPr="007A28B7" w:rsidP="008A5FD6" w14:paraId="66C3A6CB" w14:textId="77777777">
      <w:pPr>
        <w:pStyle w:val="ListParagraph"/>
        <w:numPr>
          <w:ilvl w:val="0"/>
          <w:numId w:val="6"/>
        </w:numPr>
        <w:tabs>
          <w:tab w:val="left" w:pos="270"/>
          <w:tab w:val="left" w:pos="900"/>
        </w:tabs>
        <w:ind w:left="284" w:hanging="284"/>
        <w:jc w:val="both"/>
        <w:rPr>
          <w:rFonts w:ascii="Arial" w:hAnsi="Arial" w:cs="Arial"/>
          <w:sz w:val="22"/>
          <w:szCs w:val="22"/>
        </w:rPr>
      </w:pPr>
      <w:r w:rsidRPr="007A28B7">
        <w:rPr>
          <w:rFonts w:ascii="Arial" w:hAnsi="Arial" w:cs="Arial"/>
          <w:sz w:val="22"/>
          <w:szCs w:val="22"/>
        </w:rPr>
        <w:t>Kesinti süresi kentsel dağıtım bölgesinde 10 saat, kentaltı dağıtım bölgesinde 11 saat ve kırsal dağıtım bölgesinde 12 saati geçtiğinde, kesintiden etkilenen tüketicilere SEDAŞ olarak tazminat ödeme yükümlülüğü bulunmaktadır. Bu nedenle kentsel dağıtım bölgesinde 8 saat, kentaltı dağıtım bölgesinde 9 saat ve kırsal dağıtım bölgesinde 10 saat den daha uzun süreli kesinti planlaması yapılmayacaktır.</w:t>
      </w:r>
    </w:p>
    <w:p w:rsidR="00F94A40" w:rsidRPr="007A28B7" w:rsidP="00431152" w14:paraId="7AE2BA52" w14:textId="77777777">
      <w:pPr>
        <w:pStyle w:val="ListParagraph"/>
        <w:numPr>
          <w:ilvl w:val="0"/>
          <w:numId w:val="6"/>
        </w:numPr>
        <w:tabs>
          <w:tab w:val="left" w:pos="270"/>
          <w:tab w:val="left" w:pos="900"/>
        </w:tabs>
        <w:ind w:left="284" w:hanging="284"/>
        <w:jc w:val="both"/>
        <w:rPr>
          <w:rFonts w:ascii="Arial" w:hAnsi="Arial" w:cs="Arial"/>
          <w:sz w:val="22"/>
          <w:szCs w:val="22"/>
        </w:rPr>
      </w:pPr>
      <w:r w:rsidRPr="007A28B7">
        <w:rPr>
          <w:rFonts w:ascii="Arial" w:hAnsi="Arial" w:cs="Arial"/>
          <w:sz w:val="22"/>
          <w:szCs w:val="22"/>
        </w:rPr>
        <w:t xml:space="preserve">KESİNTİ TALEP SAHİBİ tarafından istenilen ve SEDAŞ tarafından uygun görülerek Bildirimi yapılan kesinti süresi içinde işin tamamlanması esastır. Bildirimi yapılan </w:t>
      </w:r>
      <w:r w:rsidRPr="007A28B7">
        <w:rPr>
          <w:rFonts w:ascii="Arial" w:hAnsi="Arial" w:cs="Arial"/>
          <w:b/>
          <w:sz w:val="22"/>
          <w:szCs w:val="22"/>
        </w:rPr>
        <w:t>kesinti süresinin</w:t>
      </w:r>
      <w:r w:rsidRPr="007A28B7">
        <w:rPr>
          <w:rFonts w:ascii="Arial" w:hAnsi="Arial" w:cs="Arial"/>
          <w:sz w:val="22"/>
          <w:szCs w:val="22"/>
        </w:rPr>
        <w:t xml:space="preserve"> aşılmaması için, her türlü hazırlık ve iş planlaması KESİNTİ TALEP SAHİBİ tarafından yapılacaktır.</w:t>
      </w:r>
    </w:p>
    <w:p w:rsidR="00FE4A4E" w:rsidRPr="007A28B7" w:rsidP="00126CC7" w14:paraId="6712D04D" w14:textId="77777777">
      <w:pPr>
        <w:pStyle w:val="ListParagraph"/>
        <w:numPr>
          <w:ilvl w:val="0"/>
          <w:numId w:val="6"/>
        </w:numPr>
        <w:tabs>
          <w:tab w:val="left" w:pos="270"/>
          <w:tab w:val="left" w:pos="900"/>
        </w:tabs>
        <w:ind w:left="284" w:hanging="284"/>
        <w:jc w:val="both"/>
        <w:rPr>
          <w:rFonts w:ascii="Arial" w:hAnsi="Arial" w:cs="Arial"/>
          <w:sz w:val="22"/>
          <w:szCs w:val="22"/>
        </w:rPr>
      </w:pPr>
      <w:r w:rsidRPr="007A28B7">
        <w:rPr>
          <w:rFonts w:ascii="Arial" w:hAnsi="Arial" w:cs="Arial"/>
          <w:sz w:val="22"/>
          <w:szCs w:val="22"/>
        </w:rPr>
        <w:t>KESİNTİ TALEP SAHİBİ tarafından EKED Kilidi, AG/YG Dedektör, AG/YG Topraklama Ekipmanı, Çalışan personelinin KKD, malzeme ve  iş ekipmanları eksiksiz olarak planlı elektrik kesintisi yapılmadan önce, çalışma alanında hazır bulundurulacaktır. Kesinti öncesi tespit edilen herhangi bir eksik malzeme-ekipman-araç vb. olması durumunda Kesinti İptal edilerek yapılmayacaktır.</w:t>
      </w:r>
    </w:p>
    <w:p w:rsidR="00BA2DF4" w:rsidRPr="007A28B7" w:rsidP="00FA34C9" w14:paraId="57CE0532" w14:textId="77777777">
      <w:pPr>
        <w:pStyle w:val="ListParagraph"/>
        <w:numPr>
          <w:ilvl w:val="0"/>
          <w:numId w:val="6"/>
        </w:numPr>
        <w:tabs>
          <w:tab w:val="left" w:pos="270"/>
          <w:tab w:val="left" w:pos="900"/>
        </w:tabs>
        <w:ind w:left="284" w:hanging="284"/>
        <w:jc w:val="both"/>
        <w:rPr>
          <w:rFonts w:ascii="Arial" w:hAnsi="Arial" w:cs="Arial"/>
          <w:sz w:val="22"/>
          <w:szCs w:val="22"/>
        </w:rPr>
      </w:pPr>
      <w:r w:rsidRPr="007A28B7">
        <w:rPr>
          <w:rFonts w:ascii="Arial" w:hAnsi="Arial" w:cs="Arial"/>
          <w:sz w:val="22"/>
          <w:szCs w:val="22"/>
        </w:rPr>
        <w:t xml:space="preserve">Her türlü tedbire rağmen çalışmanın, talep edilen kesinti süresinden daha uzun sürmesi ve kentsel dağıtım bölgesinde </w:t>
      </w:r>
      <w:r w:rsidRPr="007A28B7">
        <w:rPr>
          <w:rFonts w:ascii="Arial" w:hAnsi="Arial" w:cs="Arial"/>
          <w:b/>
          <w:sz w:val="22"/>
          <w:szCs w:val="22"/>
        </w:rPr>
        <w:t>10 saat</w:t>
      </w:r>
      <w:r w:rsidRPr="007A28B7">
        <w:rPr>
          <w:rFonts w:ascii="Arial" w:hAnsi="Arial" w:cs="Arial"/>
          <w:sz w:val="22"/>
          <w:szCs w:val="22"/>
        </w:rPr>
        <w:t xml:space="preserve">, kentaltı dağıtım bölgesinde </w:t>
      </w:r>
      <w:r w:rsidRPr="007A28B7">
        <w:rPr>
          <w:rFonts w:ascii="Arial" w:hAnsi="Arial" w:cs="Arial"/>
          <w:b/>
          <w:sz w:val="22"/>
          <w:szCs w:val="22"/>
        </w:rPr>
        <w:t>11 saat</w:t>
      </w:r>
      <w:r w:rsidRPr="007A28B7">
        <w:rPr>
          <w:rFonts w:ascii="Arial" w:hAnsi="Arial" w:cs="Arial"/>
          <w:sz w:val="22"/>
          <w:szCs w:val="22"/>
        </w:rPr>
        <w:t xml:space="preserve"> ve kırsal dağıtım bölgesinde </w:t>
      </w:r>
      <w:r w:rsidRPr="007A28B7">
        <w:rPr>
          <w:rFonts w:ascii="Arial" w:hAnsi="Arial" w:cs="Arial"/>
          <w:b/>
          <w:sz w:val="22"/>
          <w:szCs w:val="22"/>
        </w:rPr>
        <w:t>12</w:t>
      </w:r>
      <w:r w:rsidRPr="007A28B7">
        <w:rPr>
          <w:rFonts w:ascii="Arial" w:hAnsi="Arial" w:cs="Arial"/>
          <w:sz w:val="22"/>
          <w:szCs w:val="22"/>
        </w:rPr>
        <w:t xml:space="preserve"> </w:t>
      </w:r>
      <w:r w:rsidRPr="007A28B7">
        <w:rPr>
          <w:rFonts w:ascii="Arial" w:hAnsi="Arial" w:cs="Arial"/>
          <w:b/>
          <w:sz w:val="22"/>
          <w:szCs w:val="22"/>
        </w:rPr>
        <w:t>saatin aşılması</w:t>
      </w:r>
      <w:r w:rsidRPr="007A28B7" w:rsidR="000B554C">
        <w:rPr>
          <w:rFonts w:ascii="Arial" w:hAnsi="Arial" w:cs="Arial"/>
          <w:sz w:val="22"/>
          <w:szCs w:val="22"/>
        </w:rPr>
        <w:t xml:space="preserve"> halinde; KESİNTİ TALEP SAHİBİ’nin kusurundan dolayı SEDAŞ’ın tüketicilere ödeyeceği tazminat bedelinden oluşan </w:t>
      </w:r>
      <w:r w:rsidRPr="007A28B7" w:rsidR="00F64A2F">
        <w:rPr>
          <w:rFonts w:ascii="Arial" w:hAnsi="Arial" w:cs="Arial"/>
          <w:b/>
          <w:sz w:val="22"/>
          <w:szCs w:val="22"/>
        </w:rPr>
        <w:t>zararı,</w:t>
      </w:r>
      <w:r w:rsidRPr="007A28B7" w:rsidR="00F64A2F">
        <w:rPr>
          <w:rFonts w:ascii="Arial" w:hAnsi="Arial" w:cs="Arial"/>
          <w:sz w:val="22"/>
          <w:szCs w:val="22"/>
        </w:rPr>
        <w:t xml:space="preserve"> </w:t>
      </w:r>
      <w:r w:rsidRPr="007A28B7" w:rsidR="00F64A2F">
        <w:rPr>
          <w:rFonts w:ascii="Arial" w:hAnsi="Arial" w:cs="Arial"/>
          <w:b/>
          <w:sz w:val="22"/>
          <w:szCs w:val="22"/>
        </w:rPr>
        <w:t>“Borçlar Kanunu Genel Hükümleri”</w:t>
      </w:r>
      <w:r w:rsidRPr="007A28B7" w:rsidR="00F64A2F">
        <w:rPr>
          <w:rFonts w:ascii="Arial" w:hAnsi="Arial" w:cs="Arial"/>
          <w:sz w:val="22"/>
          <w:szCs w:val="22"/>
        </w:rPr>
        <w:t xml:space="preserve"> kapsamında KESİNTİ TALEP SAHİBİ’ nden tazmin edilecektir.</w:t>
      </w:r>
    </w:p>
    <w:p w:rsidR="00E002B0" w:rsidRPr="004D6DA0" w:rsidP="00934489" w14:paraId="15AA263C" w14:textId="77777777">
      <w:pPr>
        <w:pStyle w:val="ListParagraph"/>
        <w:numPr>
          <w:ilvl w:val="0"/>
          <w:numId w:val="6"/>
        </w:numPr>
        <w:tabs>
          <w:tab w:val="left" w:pos="270"/>
          <w:tab w:val="left" w:pos="900"/>
        </w:tabs>
        <w:ind w:left="284" w:hanging="284"/>
        <w:jc w:val="both"/>
        <w:rPr>
          <w:rFonts w:ascii="Arial" w:hAnsi="Arial" w:cs="Arial"/>
          <w:sz w:val="22"/>
          <w:szCs w:val="22"/>
        </w:rPr>
      </w:pPr>
      <w:r w:rsidRPr="004D6DA0">
        <w:rPr>
          <w:rFonts w:ascii="Arial" w:hAnsi="Arial" w:cs="Arial"/>
          <w:sz w:val="22"/>
          <w:szCs w:val="22"/>
        </w:rPr>
        <w:t>Kesinti süresinin kentsel dağıtım bölgesinde 8 saat, kentaltı dağıtım bölgesinde 9 saat ve kırsal dağıtım bölgesinde 10 saat ve üzerinde talep edilmesi halinde, kesinti süresinin kentsel dağıtım bölgesinde 10 saat, kentaltı dağıtım bölgesinde 11 saat ve kırsal dağıtım bölgesinde 12 saati aşma ihtimali göz önüne alınarak, SEDAŞ’ın uğrayacağı zararı garanti altına almak amacıyla, KESİNTİ TALEP SAHİBİ tarafından SEDAŞ’a teminat mektubu verilecektir.</w:t>
      </w:r>
    </w:p>
    <w:p w:rsidR="00BA2DF4" w:rsidP="00BA2DF4" w14:paraId="3B8981D2" w14:textId="77777777">
      <w:pPr>
        <w:ind w:left="270"/>
        <w:jc w:val="both"/>
        <w:rPr>
          <w:rFonts w:ascii="Arial" w:hAnsi="Arial" w:cs="Arial"/>
          <w:sz w:val="22"/>
          <w:szCs w:val="22"/>
        </w:rPr>
      </w:pPr>
      <w:r w:rsidRPr="004D6DA0">
        <w:rPr>
          <w:rFonts w:ascii="Arial" w:hAnsi="Arial" w:cs="Arial"/>
          <w:sz w:val="22"/>
          <w:szCs w:val="22"/>
        </w:rPr>
        <w:t xml:space="preserve">Teminat mektubu miktarı, </w:t>
      </w:r>
      <w:r w:rsidRPr="004D6DA0" w:rsidR="001F5D04">
        <w:rPr>
          <w:rFonts w:ascii="Arial" w:hAnsi="Arial" w:cs="Arial"/>
          <w:b/>
          <w:i/>
          <w:sz w:val="22"/>
          <w:szCs w:val="22"/>
        </w:rPr>
        <w:t>“anlaşma gücü 160kVa altı olan mesken abonelerine 108,96TL diğer abonelere ise 217,92 TL, anlaşma gücü 160kVA ile 630kVa (dahil) arasında olan kullanıcılara 653,76 TL , anlaşma gücü 630kVa üzeri olan kullanıcılara 1.307,52TL ”</w:t>
      </w:r>
      <w:r w:rsidRPr="004D6DA0" w:rsidR="001F5D04">
        <w:rPr>
          <w:rFonts w:ascii="Arial" w:hAnsi="Arial" w:cs="Arial"/>
          <w:sz w:val="22"/>
          <w:szCs w:val="22"/>
        </w:rPr>
        <w:t xml:space="preserve"> olarak hesaplanacaktır.</w:t>
      </w:r>
    </w:p>
    <w:p w:rsidR="00FD3C2C" w:rsidRPr="007A28B7" w:rsidP="00797162" w14:paraId="25462DB5" w14:textId="77777777">
      <w:pPr>
        <w:pStyle w:val="ListParagraph"/>
        <w:numPr>
          <w:ilvl w:val="0"/>
          <w:numId w:val="6"/>
        </w:numPr>
        <w:ind w:left="270" w:hanging="270"/>
        <w:jc w:val="both"/>
        <w:rPr>
          <w:rFonts w:ascii="Arial" w:hAnsi="Arial" w:cs="Arial"/>
          <w:sz w:val="22"/>
          <w:szCs w:val="22"/>
        </w:rPr>
      </w:pPr>
      <w:r w:rsidRPr="007A28B7">
        <w:rPr>
          <w:rFonts w:ascii="Arial" w:hAnsi="Arial" w:cs="Arial"/>
          <w:sz w:val="22"/>
          <w:szCs w:val="22"/>
        </w:rPr>
        <w:t>Planlanan kesinti süresi içinde çalışmanın bitirilmemesi ve kesinti süresinin kentsel dağıtım bölgesinde 10 saat, kentaltı dağıtım bölgesinde 11 saat ve kırsal dağıtım bölgesinde 12 saatin aşılması halinde, SEDAŞ tarafından tüketicilere ödenecek tazminat miktarı kadar bedel, KESİNTİ TALEP SAHİBİ’ ne yapılacak bildirimden itibaren 5 iş günü içinde SEDAŞ hesabına yatırılacaktır. Beş iş günü içerisinde ödeme yapılmadığı takdirde, varsa 6.madde de bahsi geçen teminat mektubu nakde çevrilerek, tahsil edilecektir.</w:t>
      </w:r>
    </w:p>
    <w:p w:rsidR="003160EE" w:rsidRPr="007A28B7" w:rsidP="006A7477" w14:paraId="1054391F" w14:textId="77777777">
      <w:pPr>
        <w:pStyle w:val="ListParagraph"/>
        <w:numPr>
          <w:ilvl w:val="0"/>
          <w:numId w:val="6"/>
        </w:numPr>
        <w:ind w:left="270" w:hanging="270"/>
        <w:jc w:val="both"/>
        <w:rPr>
          <w:rFonts w:ascii="Arial" w:hAnsi="Arial" w:cs="Arial"/>
          <w:b/>
          <w:sz w:val="22"/>
          <w:szCs w:val="22"/>
        </w:rPr>
      </w:pPr>
      <w:r w:rsidRPr="007A28B7">
        <w:rPr>
          <w:rFonts w:ascii="Arial" w:hAnsi="Arial" w:cs="Arial"/>
          <w:sz w:val="22"/>
          <w:szCs w:val="22"/>
        </w:rPr>
        <w:t>TEDAŞ, ETKB, EPDK vb. düzenleyici ve denetleyici kurumların talimatı ile ya da olumsuz hava koşulları vb. nedenlerle SEDAŞ tarafından bildirimli kesintinin iptal edilmesi halinde bu protokol hükümsüz sayılacaktır. Bu durumla ilgili KESİNTİ TALEP SAHİBİ’ ne bildirimde bulunulacaktır.</w:t>
      </w:r>
    </w:p>
    <w:p w:rsidR="007A28B7" w:rsidRPr="007A28B7" w:rsidP="00691676" w14:paraId="0A200EDD" w14:textId="77777777">
      <w:pPr>
        <w:pStyle w:val="ListParagraph"/>
        <w:ind w:left="270"/>
        <w:jc w:val="both"/>
        <w:rPr>
          <w:rFonts w:ascii="Arial" w:hAnsi="Arial" w:cs="Arial"/>
          <w:b/>
          <w:sz w:val="22"/>
          <w:szCs w:val="22"/>
        </w:rPr>
      </w:pPr>
    </w:p>
    <w:p w:rsidR="007D6827" w:rsidRPr="004D6DA0" w:rsidP="003C0C2E" w14:paraId="0AE6FB65" w14:textId="77777777">
      <w:pPr>
        <w:shd w:val="clear" w:color="auto" w:fill="FFFFFF"/>
        <w:tabs>
          <w:tab w:val="left" w:leader="dot" w:pos="2102"/>
          <w:tab w:val="left" w:leader="dot" w:pos="2549"/>
        </w:tabs>
        <w:jc w:val="both"/>
        <w:rPr>
          <w:rFonts w:ascii="Arial" w:hAnsi="Arial" w:cs="Arial"/>
          <w:bCs/>
          <w:spacing w:val="-4"/>
          <w:sz w:val="22"/>
          <w:szCs w:val="22"/>
        </w:rPr>
      </w:pPr>
      <w:r w:rsidRPr="004D6DA0">
        <w:rPr>
          <w:rFonts w:ascii="Arial" w:hAnsi="Arial" w:cs="Arial"/>
          <w:bCs/>
          <w:spacing w:val="-7"/>
          <w:sz w:val="22"/>
          <w:szCs w:val="22"/>
        </w:rPr>
        <w:t xml:space="preserve">Sekiz (8) maddeden ibaret olan iş bu protokol, taraflarca tam olarak okunup anlaşıldıktan </w:t>
      </w:r>
      <w:r w:rsidRPr="004D6DA0">
        <w:rPr>
          <w:rFonts w:ascii="Arial" w:hAnsi="Arial" w:cs="Arial"/>
          <w:bCs/>
          <w:spacing w:val="-9"/>
          <w:sz w:val="22"/>
          <w:szCs w:val="22"/>
        </w:rPr>
        <w:t>sonra ….</w:t>
      </w:r>
      <w:r w:rsidRPr="004D6DA0">
        <w:rPr>
          <w:rFonts w:ascii="Arial" w:hAnsi="Arial" w:cs="Arial"/>
          <w:bCs/>
          <w:spacing w:val="-4"/>
          <w:sz w:val="22"/>
          <w:szCs w:val="22"/>
        </w:rPr>
        <w:t xml:space="preserve"> / .... / 20... tarihinde bir (1) asıl suret olarak imza altına alınmıştır.</w:t>
      </w:r>
    </w:p>
    <w:p w:rsidR="007D6827" w:rsidRPr="004D6DA0" w:rsidP="00496843" w14:paraId="5A4713A1" w14:textId="77777777">
      <w:pPr>
        <w:jc w:val="both"/>
        <w:rPr>
          <w:rFonts w:ascii="Arial" w:hAnsi="Arial" w:cs="Arial"/>
          <w:sz w:val="22"/>
          <w:szCs w:val="22"/>
        </w:rPr>
      </w:pPr>
    </w:p>
    <w:tbl>
      <w:tblPr>
        <w:tblW w:w="0" w:type="auto"/>
        <w:tblLook w:val="01E0"/>
      </w:tblPr>
      <w:tblGrid>
        <w:gridCol w:w="4816"/>
        <w:gridCol w:w="4821"/>
      </w:tblGrid>
      <w:tr w14:paraId="589364B9" w14:textId="77777777" w:rsidTr="000235FA">
        <w:tblPrEx>
          <w:tblW w:w="0" w:type="auto"/>
          <w:tblLook w:val="01E0"/>
        </w:tblPrEx>
        <w:tc>
          <w:tcPr>
            <w:tcW w:w="4888" w:type="dxa"/>
          </w:tcPr>
          <w:p w:rsidR="00DD099C" w:rsidRPr="004D6DA0" w:rsidP="00BA2DF4" w14:paraId="73C8DB55" w14:textId="77777777">
            <w:pPr>
              <w:rPr>
                <w:rFonts w:ascii="Arial" w:hAnsi="Arial" w:cs="Arial"/>
                <w:sz w:val="22"/>
                <w:szCs w:val="22"/>
              </w:rPr>
            </w:pPr>
            <w:r w:rsidRPr="004D6DA0">
              <w:rPr>
                <w:rFonts w:ascii="Arial" w:hAnsi="Arial" w:cs="Arial"/>
                <w:sz w:val="22"/>
                <w:szCs w:val="22"/>
              </w:rPr>
              <w:t>KESİNTİ TALEP SAHİBİ</w:t>
            </w:r>
          </w:p>
        </w:tc>
        <w:tc>
          <w:tcPr>
            <w:tcW w:w="4889" w:type="dxa"/>
          </w:tcPr>
          <w:p w:rsidR="00DD099C" w:rsidRPr="004D6DA0" w:rsidP="00496843" w14:paraId="7B932F88" w14:textId="77777777">
            <w:pPr>
              <w:jc w:val="center"/>
              <w:rPr>
                <w:rFonts w:ascii="Arial" w:hAnsi="Arial" w:cs="Arial"/>
                <w:sz w:val="22"/>
                <w:szCs w:val="22"/>
              </w:rPr>
            </w:pPr>
            <w:r w:rsidRPr="004D6DA0">
              <w:rPr>
                <w:rFonts w:ascii="Arial" w:hAnsi="Arial" w:cs="Arial"/>
                <w:sz w:val="22"/>
                <w:szCs w:val="22"/>
              </w:rPr>
              <w:t>SAKARYA ELEKTRİK DAĞITIM A.Ş.</w:t>
            </w:r>
          </w:p>
        </w:tc>
      </w:tr>
    </w:tbl>
    <w:p w:rsidR="003D6FFE" w:rsidRPr="004D6DA0" w:rsidP="007416A6" w14:paraId="298BF1D6" w14:textId="77777777">
      <w:pPr>
        <w:jc w:val="both"/>
        <w:rPr>
          <w:rFonts w:ascii="Arial" w:hAnsi="Arial" w:cs="Arial"/>
          <w:sz w:val="22"/>
          <w:szCs w:val="22"/>
        </w:rPr>
      </w:pPr>
    </w:p>
    <w:sectPr w:rsidSect="00931727">
      <w:headerReference w:type="default" r:id="rId4"/>
      <w:footerReference w:type="default" r:id="rId5"/>
      <w:pgSz w:w="11906" w:h="16838"/>
      <w:pgMar w:top="1418" w:right="85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eastAsia="SimSun"/>
        <w:sz w:val="24"/>
        <w:szCs w:val="24"/>
        <w:lang w:eastAsia="zh-CN"/>
      </w:rPr>
      <w:id w:val="860082579"/>
      <w:docPartObj>
        <w:docPartGallery w:val="Page Numbers (Top of Page)"/>
        <w:docPartUnique/>
      </w:docPartObj>
    </w:sdtPr>
    <w:sdtEndPr>
      <w:rPr>
        <w:sz w:val="20"/>
        <w:szCs w:val="20"/>
      </w:rPr>
    </w:sdtEndPr>
    <w:sdtContent>
      <w:p w:rsidR="00D05D8F" w:rsidRPr="00D05D8F" w:rsidP="00D05D8F" w14:paraId="62CF425A" w14:textId="00B65E1A">
        <w:pPr>
          <w:widowControl/>
          <w:autoSpaceDE/>
          <w:autoSpaceDN/>
          <w:adjustRightInd/>
          <w:rPr>
            <w:rFonts w:ascii="Cambria" w:hAnsi="Cambria" w:cs="Arial"/>
            <w:color w:val="000000"/>
          </w:rPr>
        </w:pPr>
        <w:r w:rsidR="006C18F5">
          <w:rPr>
            <w:rFonts w:ascii="Cambria" w:hAnsi="Cambria" w:cs="Arial"/>
            <w:color w:val="000000"/>
          </w:rPr>
          <w:t>SED.FRM.084.R00</w:t>
        </w:r>
      </w:p>
      <w:p w:rsidR="00F94A40" w:rsidRPr="00EC2A2B" w:rsidP="00BA2DF4" w14:paraId="278EC4CC" w14:textId="7FA39098">
        <w:pPr>
          <w:tabs>
            <w:tab w:val="center" w:pos="4536"/>
            <w:tab w:val="right" w:pos="9072"/>
          </w:tabs>
          <w:rPr>
            <w:rFonts w:eastAsia="SimSun"/>
            <w:sz w:val="16"/>
            <w:szCs w:val="16"/>
            <w:lang w:eastAsia="zh-CN"/>
          </w:rPr>
        </w:pPr>
        <w:r w:rsidRPr="00EC2A2B">
          <w:rPr>
            <w:rFonts w:ascii="Arial" w:eastAsia="SimSun" w:hAnsi="Arial" w:cs="Arial"/>
            <w:i/>
            <w:sz w:val="16"/>
            <w:szCs w:val="16"/>
            <w:lang w:eastAsia="zh-CN"/>
          </w:rPr>
          <w:tab/>
          <w:tab/>
        </w:r>
      </w:p>
      <w:p w:rsidR="00F94A40" w:rsidP="00BA2DF4" w14:paraId="2B20941C" w14:textId="0ED63495">
        <w:pPr>
          <w:tabs>
            <w:tab w:val="center" w:pos="4536"/>
            <w:tab w:val="right" w:pos="9072"/>
          </w:tabs>
          <w:rPr>
            <w:rFonts w:eastAsia="SimSun"/>
            <w:lang w:eastAsia="zh-CN"/>
          </w:rPr>
        </w:pPr>
        <w:r w:rsidRPr="00EC2A2B">
          <w:rPr>
            <w:rFonts w:eastAsia="SimSun"/>
            <w:sz w:val="16"/>
            <w:szCs w:val="16"/>
            <w:lang w:eastAsia="zh-CN"/>
          </w:rPr>
          <w:tab/>
          <w:t xml:space="preserve"> </w:t>
          <w:tab/>
        </w:r>
        <w:r>
          <w:rPr>
            <w:rFonts w:ascii="Arial" w:eastAsia="SimSun" w:hAnsi="Arial" w:cs="Arial"/>
            <w:sz w:val="16"/>
            <w:szCs w:val="16"/>
            <w:lang w:eastAsia="zh-CN"/>
          </w:rPr>
          <w:t xml:space="preserve">Sayfa </w:t>
        </w:r>
        <w:r w:rsidRPr="00EC2A2B">
          <w:rPr>
            <w:rFonts w:ascii="Arial" w:eastAsia="SimSun" w:hAnsi="Arial" w:cs="Arial"/>
            <w:b/>
            <w:bCs/>
            <w:sz w:val="16"/>
            <w:szCs w:val="16"/>
            <w:lang w:eastAsia="zh-CN"/>
          </w:rPr>
          <w:fldChar w:fldCharType="begin"/>
        </w:r>
        <w:r w:rsidRPr="00EC2A2B">
          <w:rPr>
            <w:rFonts w:ascii="Arial" w:eastAsia="SimSun" w:hAnsi="Arial" w:cs="Arial"/>
            <w:b/>
            <w:bCs/>
            <w:sz w:val="16"/>
            <w:szCs w:val="16"/>
            <w:lang w:eastAsia="zh-CN"/>
          </w:rPr>
          <w:instrText>PAGE</w:instrText>
        </w:r>
        <w:r w:rsidRPr="00EC2A2B">
          <w:rPr>
            <w:rFonts w:ascii="Arial" w:eastAsia="SimSun" w:hAnsi="Arial" w:cs="Arial"/>
            <w:b/>
            <w:bCs/>
            <w:sz w:val="16"/>
            <w:szCs w:val="16"/>
            <w:lang w:eastAsia="zh-CN"/>
          </w:rPr>
          <w:fldChar w:fldCharType="separate"/>
        </w:r>
        <w:r w:rsidR="00691676">
          <w:rPr>
            <w:rFonts w:ascii="Arial" w:eastAsia="SimSun" w:hAnsi="Arial" w:cs="Arial"/>
            <w:b/>
            <w:bCs/>
            <w:noProof/>
            <w:sz w:val="16"/>
            <w:szCs w:val="16"/>
            <w:lang w:eastAsia="zh-CN"/>
          </w:rPr>
          <w:t>1</w:t>
        </w:r>
        <w:r w:rsidRPr="00EC2A2B">
          <w:rPr>
            <w:rFonts w:ascii="Arial" w:eastAsia="SimSun" w:hAnsi="Arial" w:cs="Arial"/>
            <w:b/>
            <w:bCs/>
            <w:sz w:val="16"/>
            <w:szCs w:val="16"/>
            <w:lang w:eastAsia="zh-CN"/>
          </w:rPr>
          <w:fldChar w:fldCharType="end"/>
        </w:r>
        <w:r w:rsidRPr="00EC2A2B">
          <w:rPr>
            <w:rFonts w:ascii="Arial" w:eastAsia="SimSun" w:hAnsi="Arial" w:cs="Arial"/>
            <w:sz w:val="16"/>
            <w:szCs w:val="16"/>
            <w:lang w:eastAsia="zh-CN"/>
          </w:rPr>
          <w:t xml:space="preserve"> / </w:t>
        </w:r>
        <w:r w:rsidRPr="00EC2A2B">
          <w:rPr>
            <w:rFonts w:ascii="Arial" w:eastAsia="SimSun" w:hAnsi="Arial" w:cs="Arial"/>
            <w:b/>
            <w:bCs/>
            <w:sz w:val="16"/>
            <w:szCs w:val="16"/>
            <w:lang w:eastAsia="zh-CN"/>
          </w:rPr>
          <w:fldChar w:fldCharType="begin"/>
        </w:r>
        <w:r w:rsidRPr="00EC2A2B">
          <w:rPr>
            <w:rFonts w:ascii="Arial" w:eastAsia="SimSun" w:hAnsi="Arial" w:cs="Arial"/>
            <w:b/>
            <w:bCs/>
            <w:sz w:val="16"/>
            <w:szCs w:val="16"/>
            <w:lang w:eastAsia="zh-CN"/>
          </w:rPr>
          <w:instrText>NUMPAGES</w:instrText>
        </w:r>
        <w:r w:rsidRPr="00EC2A2B">
          <w:rPr>
            <w:rFonts w:ascii="Arial" w:eastAsia="SimSun" w:hAnsi="Arial" w:cs="Arial"/>
            <w:b/>
            <w:bCs/>
            <w:sz w:val="16"/>
            <w:szCs w:val="16"/>
            <w:lang w:eastAsia="zh-CN"/>
          </w:rPr>
          <w:fldChar w:fldCharType="separate"/>
        </w:r>
        <w:r w:rsidR="00691676">
          <w:rPr>
            <w:rFonts w:ascii="Arial" w:eastAsia="SimSun" w:hAnsi="Arial" w:cs="Arial"/>
            <w:b/>
            <w:bCs/>
            <w:noProof/>
            <w:sz w:val="16"/>
            <w:szCs w:val="16"/>
            <w:lang w:eastAsia="zh-CN"/>
          </w:rPr>
          <w:t>1</w:t>
        </w:r>
        <w:r w:rsidRPr="00EC2A2B">
          <w:rPr>
            <w:rFonts w:ascii="Arial" w:eastAsia="SimSun" w:hAnsi="Arial" w:cs="Arial"/>
            <w:b/>
            <w:bCs/>
            <w:sz w:val="16"/>
            <w:szCs w:val="16"/>
            <w:lang w:eastAsia="zh-CN"/>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9464" w:type="dxa"/>
      <w:tblLook w:val="04A0"/>
    </w:tblPr>
    <w:tblGrid>
      <w:gridCol w:w="1851"/>
      <w:gridCol w:w="7613"/>
    </w:tblGrid>
    <w:tr w14:paraId="67BEFF91" w14:textId="77777777" w:rsidTr="00260EE4">
      <w:tblPrEx>
        <w:tblW w:w="9464" w:type="dxa"/>
        <w:tblLook w:val="04A0"/>
      </w:tblPrEx>
      <w:tc>
        <w:tcPr>
          <w:tcW w:w="1596" w:type="dxa"/>
        </w:tcPr>
        <w:p w:rsidR="00F94A40" w:rsidRPr="00EC2A2B" w:rsidP="00260EE4" w14:paraId="11D90A27" w14:textId="47FCD9F9">
          <w:pPr>
            <w:tabs>
              <w:tab w:val="center" w:pos="4536"/>
              <w:tab w:val="right" w:pos="9072"/>
            </w:tabs>
            <w:rPr>
              <w:rFonts w:eastAsia="SimSun"/>
              <w:sz w:val="24"/>
              <w:szCs w:val="24"/>
              <w:lang w:eastAsia="zh-CN"/>
            </w:rPr>
          </w:pPr>
          <w:r>
            <w:rPr>
              <w:rFonts w:cs="Arial"/>
              <w:noProof/>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190500</wp:posOffset>
                    </wp:positionV>
                    <wp:extent cx="7560310" cy="273050"/>
                    <wp:effectExtent l="0" t="0" r="0" b="12700"/>
                    <wp:wrapNone/>
                    <wp:docPr id="1" name="MSIPCMef674e17b938ad262e8aff4f" descr="{&quot;HashCode&quot;:142137455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560310" cy="2730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D05D8F" w:rsidRPr="00D05D8F" w:rsidP="00D05D8F" w14:textId="791011D3">
                                <w:pPr>
                                  <w:jc w:val="center"/>
                                  <w:rPr>
                                    <w:rFonts w:ascii="Calibri" w:hAnsi="Calibri" w:cs="Calibri"/>
                                    <w:color w:val="27A03B"/>
                                    <w:sz w:val="24"/>
                                  </w:rPr>
                                </w:pPr>
                                <w:r w:rsidRPr="00D05D8F">
                                  <w:rPr>
                                    <w:rFonts w:ascii="Calibri" w:hAnsi="Calibri" w:cs="Calibri"/>
                                    <w:color w:val="27A03B"/>
                                    <w:sz w:val="24"/>
                                  </w:rPr>
                                  <w:t>Genel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ef674e17b938ad262e8aff4f" o:spid="_x0000_s2049" type="#_x0000_t202" alt="{&quot;HashCode&quot;:1421374558,&quot;Height&quot;:841.0,&quot;Width&quot;:595.0,&quot;Placement&quot;:&quot;Header&quot;,&quot;Index&quot;:&quot;Primary&quot;,&quot;Section&quot;:1,&quot;Top&quot;:0.0,&quot;Left&quot;:0.0}" style="width:595.3pt;height:21.5pt;margin-top:15pt;margin-left:0;mso-position-horizontal-relative:page;mso-position-vertical-relative:page;mso-wrap-distance-bottom:0;mso-wrap-distance-left:9pt;mso-wrap-distance-right:9pt;mso-wrap-distance-top:0;mso-wrap-style:square;position:absolute;visibility:visible;v-text-anchor:top;z-index:251659264" o:allowincell="f" filled="f" stroked="f" strokeweight="0.5pt">
                    <v:textbox inset=",0,,0">
                      <w:txbxContent>
                        <w:p w:rsidR="00D05D8F" w:rsidRPr="00D05D8F" w:rsidP="00D05D8F" w14:paraId="337605F8" w14:textId="791011D3">
                          <w:pPr>
                            <w:jc w:val="center"/>
                            <w:rPr>
                              <w:rFonts w:ascii="Calibri" w:hAnsi="Calibri" w:cs="Calibri"/>
                              <w:color w:val="27A03B"/>
                              <w:sz w:val="24"/>
                            </w:rPr>
                          </w:pPr>
                          <w:r w:rsidRPr="00D05D8F">
                            <w:rPr>
                              <w:rFonts w:ascii="Calibri" w:hAnsi="Calibri" w:cs="Calibri"/>
                              <w:color w:val="27A03B"/>
                              <w:sz w:val="24"/>
                            </w:rPr>
                            <w:t>Genel</w:t>
                          </w:r>
                        </w:p>
                      </w:txbxContent>
                    </v:textbox>
                  </v:shape>
                </w:pict>
              </mc:Fallback>
            </mc:AlternateContent>
          </w:r>
          <w:r>
            <w:rPr>
              <w:rFonts w:cs="Arial"/>
              <w:noProof/>
            </w:rPr>
            <w:drawing>
              <wp:inline distT="0" distB="0" distL="0" distR="0">
                <wp:extent cx="1038225" cy="862153"/>
                <wp:effectExtent l="0" t="0" r="0" b="0"/>
                <wp:docPr id="2" name="Resim 2" descr="C:\Documents and Settings\umit.gurbuz\Desktop\Diğer Dosyalar\sedas gerc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Documents and Settings\umit.gurbuz\Desktop\Diğer Dosyalar\sedas gercek.png"/>
                        <pic:cNvPicPr>
                          <a:picLocks noChangeAspect="1" noChangeArrowheads="1"/>
                        </pic:cNvPicPr>
                      </pic:nvPicPr>
                      <pic:blipFill>
                        <a:blip xmlns:r="http://schemas.openxmlformats.org/officeDocument/2006/relationships" r:embed="rId1" cstate="print"/>
                        <a:stretch>
                          <a:fillRect/>
                        </a:stretch>
                      </pic:blipFill>
                      <pic:spPr bwMode="auto">
                        <a:xfrm>
                          <a:off x="0" y="0"/>
                          <a:ext cx="1044693" cy="867524"/>
                        </a:xfrm>
                        <a:prstGeom prst="rect">
                          <a:avLst/>
                        </a:prstGeom>
                        <a:noFill/>
                        <a:ln w="9525">
                          <a:noFill/>
                          <a:miter lim="800000"/>
                          <a:headEnd/>
                          <a:tailEnd/>
                        </a:ln>
                      </pic:spPr>
                    </pic:pic>
                  </a:graphicData>
                </a:graphic>
              </wp:inline>
            </w:drawing>
          </w:r>
        </w:p>
      </w:tc>
      <w:tc>
        <w:tcPr>
          <w:tcW w:w="7868" w:type="dxa"/>
          <w:vAlign w:val="center"/>
        </w:tcPr>
        <w:p w:rsidR="00F94A40" w:rsidRPr="00EC2A2B" w:rsidP="00260EE4" w14:paraId="4E673091" w14:textId="77777777">
          <w:pPr>
            <w:jc w:val="center"/>
            <w:rPr>
              <w:rFonts w:ascii="Arial" w:hAnsi="Arial" w:cs="Arial"/>
              <w:b/>
              <w:sz w:val="24"/>
              <w:szCs w:val="24"/>
            </w:rPr>
          </w:pPr>
          <w:r>
            <w:rPr>
              <w:rFonts w:ascii="Arial" w:hAnsi="Arial" w:cs="Arial"/>
              <w:b/>
              <w:sz w:val="24"/>
              <w:szCs w:val="24"/>
            </w:rPr>
            <w:t>BİLDİRİMLİ KESİNTİ PROTOKOLÜ</w:t>
          </w:r>
        </w:p>
      </w:tc>
    </w:tr>
  </w:tbl>
  <w:p w:rsidR="00F94A40" w:rsidRPr="00BA2DF4" w:rsidP="00BA2DF4" w14:paraId="255F562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6060B5A"/>
    <w:multiLevelType w:val="hybridMultilevel"/>
    <w:tmpl w:val="EF22A986"/>
    <w:lvl w:ilvl="0">
      <w:start w:val="1"/>
      <w:numFmt w:val="decimal"/>
      <w:lvlText w:val="%1."/>
      <w:lvlJc w:val="left"/>
      <w:pPr>
        <w:tabs>
          <w:tab w:val="num" w:pos="1068"/>
        </w:tabs>
        <w:ind w:left="1068" w:hanging="360"/>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1">
    <w:nsid w:val="4C83759B"/>
    <w:multiLevelType w:val="hybridMultilevel"/>
    <w:tmpl w:val="D7D824EC"/>
    <w:lvl w:ilvl="0">
      <w:start w:val="1"/>
      <w:numFmt w:val="decimal"/>
      <w:lvlText w:val="%1."/>
      <w:lvlJc w:val="left"/>
      <w:pPr>
        <w:tabs>
          <w:tab w:val="num" w:pos="1065"/>
        </w:tabs>
        <w:ind w:left="1065" w:hanging="360"/>
      </w:pPr>
      <w:rPr>
        <w:rFonts w:hint="default"/>
      </w:rPr>
    </w:lvl>
    <w:lvl w:ilvl="1" w:tentative="1">
      <w:start w:val="1"/>
      <w:numFmt w:val="lowerLetter"/>
      <w:lvlText w:val="%2."/>
      <w:lvlJc w:val="left"/>
      <w:pPr>
        <w:tabs>
          <w:tab w:val="num" w:pos="1785"/>
        </w:tabs>
        <w:ind w:left="1785" w:hanging="360"/>
      </w:p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2">
    <w:nsid w:val="50940E79"/>
    <w:multiLevelType w:val="singleLevel"/>
    <w:tmpl w:val="BF1E8D1A"/>
    <w:lvl w:ilvl="0">
      <w:start w:val="1"/>
      <w:numFmt w:val="decimal"/>
      <w:lvlText w:val="%1)"/>
      <w:legacy w:legacy="1" w:legacySpace="0" w:legacyIndent="334"/>
      <w:lvlJc w:val="left"/>
      <w:rPr>
        <w:rFonts w:ascii="Times New Roman" w:hAnsi="Times New Roman" w:cs="Times New Roman" w:hint="default"/>
      </w:rPr>
    </w:lvl>
  </w:abstractNum>
  <w:abstractNum w:abstractNumId="3">
    <w:nsid w:val="57366C2D"/>
    <w:multiLevelType w:val="hybridMultilevel"/>
    <w:tmpl w:val="B660395A"/>
    <w:lvl w:ilvl="0">
      <w:start w:val="1"/>
      <w:numFmt w:val="decimal"/>
      <w:lvlText w:val="%1."/>
      <w:lvlJc w:val="left"/>
      <w:pPr>
        <w:ind w:left="360" w:hanging="360"/>
      </w:pPr>
    </w:lvl>
    <w:lvl w:ilvl="1" w:tentative="1">
      <w:start w:val="1"/>
      <w:numFmt w:val="lowerLetter"/>
      <w:lvlText w:val="%2."/>
      <w:lvlJc w:val="left"/>
      <w:pPr>
        <w:ind w:left="2070" w:hanging="360"/>
      </w:pPr>
    </w:lvl>
    <w:lvl w:ilvl="2" w:tentative="1">
      <w:start w:val="1"/>
      <w:numFmt w:val="lowerRoman"/>
      <w:lvlText w:val="%3."/>
      <w:lvlJc w:val="right"/>
      <w:pPr>
        <w:ind w:left="2790" w:hanging="180"/>
      </w:pPr>
    </w:lvl>
    <w:lvl w:ilvl="3" w:tentative="1">
      <w:start w:val="1"/>
      <w:numFmt w:val="decimal"/>
      <w:lvlText w:val="%4."/>
      <w:lvlJc w:val="left"/>
      <w:pPr>
        <w:ind w:left="3510" w:hanging="360"/>
      </w:pPr>
    </w:lvl>
    <w:lvl w:ilvl="4" w:tentative="1">
      <w:start w:val="1"/>
      <w:numFmt w:val="lowerLetter"/>
      <w:lvlText w:val="%5."/>
      <w:lvlJc w:val="left"/>
      <w:pPr>
        <w:ind w:left="4230" w:hanging="360"/>
      </w:pPr>
    </w:lvl>
    <w:lvl w:ilvl="5" w:tentative="1">
      <w:start w:val="1"/>
      <w:numFmt w:val="lowerRoman"/>
      <w:lvlText w:val="%6."/>
      <w:lvlJc w:val="right"/>
      <w:pPr>
        <w:ind w:left="4950" w:hanging="180"/>
      </w:pPr>
    </w:lvl>
    <w:lvl w:ilvl="6" w:tentative="1">
      <w:start w:val="1"/>
      <w:numFmt w:val="decimal"/>
      <w:lvlText w:val="%7."/>
      <w:lvlJc w:val="left"/>
      <w:pPr>
        <w:ind w:left="5670" w:hanging="360"/>
      </w:pPr>
    </w:lvl>
    <w:lvl w:ilvl="7" w:tentative="1">
      <w:start w:val="1"/>
      <w:numFmt w:val="lowerLetter"/>
      <w:lvlText w:val="%8."/>
      <w:lvlJc w:val="left"/>
      <w:pPr>
        <w:ind w:left="6390" w:hanging="360"/>
      </w:pPr>
    </w:lvl>
    <w:lvl w:ilvl="8" w:tentative="1">
      <w:start w:val="1"/>
      <w:numFmt w:val="lowerRoman"/>
      <w:lvlText w:val="%9."/>
      <w:lvlJc w:val="right"/>
      <w:pPr>
        <w:ind w:left="7110" w:hanging="180"/>
      </w:pPr>
    </w:lvl>
  </w:abstractNum>
  <w:abstractNum w:abstractNumId="4">
    <w:nsid w:val="620653F5"/>
    <w:multiLevelType w:val="hybridMultilevel"/>
    <w:tmpl w:val="B6B84716"/>
    <w:lvl w:ilvl="0">
      <w:start w:val="1"/>
      <w:numFmt w:val="decimal"/>
      <w:lvlText w:val="%1-"/>
      <w:lvlJc w:val="left"/>
      <w:pPr>
        <w:ind w:left="990" w:hanging="360"/>
      </w:pPr>
      <w:rPr>
        <w:rFonts w:ascii="Times New Roman" w:eastAsia="Times New Roman" w:hAnsi="Times New Roman" w:cs="Times New Roman"/>
        <w:b/>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5">
    <w:nsid w:val="76C70F41"/>
    <w:multiLevelType w:val="hybridMultilevel"/>
    <w:tmpl w:val="0544736E"/>
    <w:lvl w:ilvl="0">
      <w:start w:val="1"/>
      <w:numFmt w:val="decimal"/>
      <w:lvlText w:val="%1."/>
      <w:lvlJc w:val="left"/>
      <w:pPr>
        <w:tabs>
          <w:tab w:val="num" w:pos="1065"/>
        </w:tabs>
        <w:ind w:left="1065" w:hanging="360"/>
      </w:pPr>
      <w:rPr>
        <w:rFonts w:hint="default"/>
        <w:b w:val="0"/>
      </w:rPr>
    </w:lvl>
    <w:lvl w:ilvl="1" w:tentative="1">
      <w:start w:val="1"/>
      <w:numFmt w:val="lowerLetter"/>
      <w:lvlText w:val="%2."/>
      <w:lvlJc w:val="left"/>
      <w:pPr>
        <w:tabs>
          <w:tab w:val="num" w:pos="1785"/>
        </w:tabs>
        <w:ind w:left="1785" w:hanging="360"/>
      </w:p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num w:numId="1" w16cid:durableId="1486236297">
    <w:abstractNumId w:val="1"/>
  </w:num>
  <w:num w:numId="2" w16cid:durableId="960724661">
    <w:abstractNumId w:val="0"/>
  </w:num>
  <w:num w:numId="3" w16cid:durableId="497816007">
    <w:abstractNumId w:val="2"/>
  </w:num>
  <w:num w:numId="4" w16cid:durableId="703287259">
    <w:abstractNumId w:val="5"/>
  </w:num>
  <w:num w:numId="5" w16cid:durableId="1829009290">
    <w:abstractNumId w:val="4"/>
  </w:num>
  <w:num w:numId="6" w16cid:durableId="10278729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1B3"/>
    <w:rsid w:val="00001257"/>
    <w:rsid w:val="000235FA"/>
    <w:rsid w:val="0002541D"/>
    <w:rsid w:val="00037D2A"/>
    <w:rsid w:val="00051C08"/>
    <w:rsid w:val="00060098"/>
    <w:rsid w:val="0006722D"/>
    <w:rsid w:val="000747BB"/>
    <w:rsid w:val="0007774B"/>
    <w:rsid w:val="00080EA9"/>
    <w:rsid w:val="00091228"/>
    <w:rsid w:val="000947B5"/>
    <w:rsid w:val="00096DAF"/>
    <w:rsid w:val="000A5A29"/>
    <w:rsid w:val="000B0A73"/>
    <w:rsid w:val="000B4A42"/>
    <w:rsid w:val="000B554C"/>
    <w:rsid w:val="000B75AA"/>
    <w:rsid w:val="000C2308"/>
    <w:rsid w:val="000C6C3F"/>
    <w:rsid w:val="000D4AF3"/>
    <w:rsid w:val="000D6816"/>
    <w:rsid w:val="000F5B8F"/>
    <w:rsid w:val="0010472F"/>
    <w:rsid w:val="00112403"/>
    <w:rsid w:val="001222BB"/>
    <w:rsid w:val="00123C7B"/>
    <w:rsid w:val="00126CC7"/>
    <w:rsid w:val="00137C68"/>
    <w:rsid w:val="001675D3"/>
    <w:rsid w:val="00177312"/>
    <w:rsid w:val="00181DB4"/>
    <w:rsid w:val="00184E70"/>
    <w:rsid w:val="0019366B"/>
    <w:rsid w:val="00194C8D"/>
    <w:rsid w:val="001A55E2"/>
    <w:rsid w:val="001A7892"/>
    <w:rsid w:val="001B03B8"/>
    <w:rsid w:val="001B3490"/>
    <w:rsid w:val="001B3513"/>
    <w:rsid w:val="001C29C1"/>
    <w:rsid w:val="001C465D"/>
    <w:rsid w:val="001D0A0B"/>
    <w:rsid w:val="001E326A"/>
    <w:rsid w:val="001F5D04"/>
    <w:rsid w:val="001F5EC6"/>
    <w:rsid w:val="002122AF"/>
    <w:rsid w:val="00217361"/>
    <w:rsid w:val="00217920"/>
    <w:rsid w:val="00217C64"/>
    <w:rsid w:val="0022015B"/>
    <w:rsid w:val="00224F73"/>
    <w:rsid w:val="0023610F"/>
    <w:rsid w:val="00236867"/>
    <w:rsid w:val="002504C6"/>
    <w:rsid w:val="0025790F"/>
    <w:rsid w:val="002607AD"/>
    <w:rsid w:val="00260EE4"/>
    <w:rsid w:val="00261B5C"/>
    <w:rsid w:val="00276A5C"/>
    <w:rsid w:val="00280F42"/>
    <w:rsid w:val="00286143"/>
    <w:rsid w:val="00290A65"/>
    <w:rsid w:val="002A01B3"/>
    <w:rsid w:val="002A136B"/>
    <w:rsid w:val="002B078A"/>
    <w:rsid w:val="002B2710"/>
    <w:rsid w:val="002B45C5"/>
    <w:rsid w:val="002C39E6"/>
    <w:rsid w:val="002C3D1A"/>
    <w:rsid w:val="002C4620"/>
    <w:rsid w:val="002F0129"/>
    <w:rsid w:val="002F4CE1"/>
    <w:rsid w:val="002F6EC7"/>
    <w:rsid w:val="00314273"/>
    <w:rsid w:val="003160EE"/>
    <w:rsid w:val="003233A5"/>
    <w:rsid w:val="00335887"/>
    <w:rsid w:val="0035084C"/>
    <w:rsid w:val="00350A6B"/>
    <w:rsid w:val="00361D95"/>
    <w:rsid w:val="003622D2"/>
    <w:rsid w:val="00370066"/>
    <w:rsid w:val="0038085D"/>
    <w:rsid w:val="00387FDF"/>
    <w:rsid w:val="00392A77"/>
    <w:rsid w:val="00397696"/>
    <w:rsid w:val="003A2858"/>
    <w:rsid w:val="003B19D6"/>
    <w:rsid w:val="003B3EAB"/>
    <w:rsid w:val="003B5430"/>
    <w:rsid w:val="003C0C2E"/>
    <w:rsid w:val="003C55CD"/>
    <w:rsid w:val="003D070E"/>
    <w:rsid w:val="003D3D8A"/>
    <w:rsid w:val="003D6FFE"/>
    <w:rsid w:val="003E52EA"/>
    <w:rsid w:val="00402C62"/>
    <w:rsid w:val="00421414"/>
    <w:rsid w:val="00422ADC"/>
    <w:rsid w:val="004251A3"/>
    <w:rsid w:val="00431152"/>
    <w:rsid w:val="00432077"/>
    <w:rsid w:val="00453684"/>
    <w:rsid w:val="0046489B"/>
    <w:rsid w:val="004841C8"/>
    <w:rsid w:val="004922DF"/>
    <w:rsid w:val="00495A3F"/>
    <w:rsid w:val="00496843"/>
    <w:rsid w:val="004A2153"/>
    <w:rsid w:val="004A3478"/>
    <w:rsid w:val="004A5576"/>
    <w:rsid w:val="004B3DA0"/>
    <w:rsid w:val="004B5395"/>
    <w:rsid w:val="004C2391"/>
    <w:rsid w:val="004D67E9"/>
    <w:rsid w:val="004D6DA0"/>
    <w:rsid w:val="004F706E"/>
    <w:rsid w:val="00507E7E"/>
    <w:rsid w:val="00523B80"/>
    <w:rsid w:val="00530031"/>
    <w:rsid w:val="00531E58"/>
    <w:rsid w:val="00532ECB"/>
    <w:rsid w:val="00556C95"/>
    <w:rsid w:val="00561E36"/>
    <w:rsid w:val="005810B2"/>
    <w:rsid w:val="005812FB"/>
    <w:rsid w:val="00592EC4"/>
    <w:rsid w:val="00594FB4"/>
    <w:rsid w:val="005A0401"/>
    <w:rsid w:val="005B4946"/>
    <w:rsid w:val="005B5DCF"/>
    <w:rsid w:val="005D2155"/>
    <w:rsid w:val="005E5659"/>
    <w:rsid w:val="00613649"/>
    <w:rsid w:val="00617E1D"/>
    <w:rsid w:val="00630BA2"/>
    <w:rsid w:val="00637C1A"/>
    <w:rsid w:val="00650305"/>
    <w:rsid w:val="00656C10"/>
    <w:rsid w:val="00657027"/>
    <w:rsid w:val="00665255"/>
    <w:rsid w:val="00666678"/>
    <w:rsid w:val="0066690C"/>
    <w:rsid w:val="0067054D"/>
    <w:rsid w:val="00673A1D"/>
    <w:rsid w:val="00682AFE"/>
    <w:rsid w:val="00691676"/>
    <w:rsid w:val="00697167"/>
    <w:rsid w:val="006A6F44"/>
    <w:rsid w:val="006A7477"/>
    <w:rsid w:val="006B10E1"/>
    <w:rsid w:val="006B478C"/>
    <w:rsid w:val="006C18F5"/>
    <w:rsid w:val="006E35A6"/>
    <w:rsid w:val="006E5FD2"/>
    <w:rsid w:val="006F68BE"/>
    <w:rsid w:val="00702811"/>
    <w:rsid w:val="00703320"/>
    <w:rsid w:val="00707F8E"/>
    <w:rsid w:val="00723CED"/>
    <w:rsid w:val="00724740"/>
    <w:rsid w:val="00732570"/>
    <w:rsid w:val="00735535"/>
    <w:rsid w:val="007416A6"/>
    <w:rsid w:val="0075007A"/>
    <w:rsid w:val="0075021C"/>
    <w:rsid w:val="007551A3"/>
    <w:rsid w:val="00766A0C"/>
    <w:rsid w:val="00770B9B"/>
    <w:rsid w:val="007926DA"/>
    <w:rsid w:val="00793C4D"/>
    <w:rsid w:val="00797162"/>
    <w:rsid w:val="007A28B7"/>
    <w:rsid w:val="007A5ED8"/>
    <w:rsid w:val="007B6F73"/>
    <w:rsid w:val="007B74C1"/>
    <w:rsid w:val="007B789D"/>
    <w:rsid w:val="007C20D2"/>
    <w:rsid w:val="007D6827"/>
    <w:rsid w:val="007E292F"/>
    <w:rsid w:val="007E520A"/>
    <w:rsid w:val="007E6FB9"/>
    <w:rsid w:val="007F1170"/>
    <w:rsid w:val="00807A85"/>
    <w:rsid w:val="00822209"/>
    <w:rsid w:val="0083013B"/>
    <w:rsid w:val="00832240"/>
    <w:rsid w:val="00842CAC"/>
    <w:rsid w:val="00845513"/>
    <w:rsid w:val="00853944"/>
    <w:rsid w:val="00855DD7"/>
    <w:rsid w:val="008649CA"/>
    <w:rsid w:val="008907C7"/>
    <w:rsid w:val="0089416E"/>
    <w:rsid w:val="008A5FD6"/>
    <w:rsid w:val="008C02B2"/>
    <w:rsid w:val="008C385F"/>
    <w:rsid w:val="008C7676"/>
    <w:rsid w:val="008E41F7"/>
    <w:rsid w:val="008F6D82"/>
    <w:rsid w:val="00906BF6"/>
    <w:rsid w:val="0091050C"/>
    <w:rsid w:val="0091368B"/>
    <w:rsid w:val="00917C33"/>
    <w:rsid w:val="00925FDC"/>
    <w:rsid w:val="009260B3"/>
    <w:rsid w:val="0092785B"/>
    <w:rsid w:val="00931727"/>
    <w:rsid w:val="00931A26"/>
    <w:rsid w:val="00934489"/>
    <w:rsid w:val="009615E3"/>
    <w:rsid w:val="00962198"/>
    <w:rsid w:val="00990980"/>
    <w:rsid w:val="00992BFE"/>
    <w:rsid w:val="009A6977"/>
    <w:rsid w:val="009B3FE8"/>
    <w:rsid w:val="009C7964"/>
    <w:rsid w:val="009D3947"/>
    <w:rsid w:val="00A1515B"/>
    <w:rsid w:val="00A176BD"/>
    <w:rsid w:val="00A2018B"/>
    <w:rsid w:val="00A361D0"/>
    <w:rsid w:val="00A64095"/>
    <w:rsid w:val="00A71CB6"/>
    <w:rsid w:val="00A73E56"/>
    <w:rsid w:val="00A92482"/>
    <w:rsid w:val="00A956FE"/>
    <w:rsid w:val="00AA1078"/>
    <w:rsid w:val="00AA45D4"/>
    <w:rsid w:val="00AB0C37"/>
    <w:rsid w:val="00AB21A0"/>
    <w:rsid w:val="00AB2AC6"/>
    <w:rsid w:val="00AB3079"/>
    <w:rsid w:val="00AB7FAB"/>
    <w:rsid w:val="00AD3EEC"/>
    <w:rsid w:val="00AD705E"/>
    <w:rsid w:val="00AF73C6"/>
    <w:rsid w:val="00B0590F"/>
    <w:rsid w:val="00B120B9"/>
    <w:rsid w:val="00B12BC7"/>
    <w:rsid w:val="00B22491"/>
    <w:rsid w:val="00B33855"/>
    <w:rsid w:val="00B667D5"/>
    <w:rsid w:val="00B67F20"/>
    <w:rsid w:val="00B7020B"/>
    <w:rsid w:val="00B706C9"/>
    <w:rsid w:val="00B70BFD"/>
    <w:rsid w:val="00B810F6"/>
    <w:rsid w:val="00B8685D"/>
    <w:rsid w:val="00BA2DF4"/>
    <w:rsid w:val="00BB338A"/>
    <w:rsid w:val="00BB6BE8"/>
    <w:rsid w:val="00BC5E0A"/>
    <w:rsid w:val="00BD2C91"/>
    <w:rsid w:val="00BD70CE"/>
    <w:rsid w:val="00BF0980"/>
    <w:rsid w:val="00C02FF5"/>
    <w:rsid w:val="00C13F0E"/>
    <w:rsid w:val="00C16B61"/>
    <w:rsid w:val="00C17176"/>
    <w:rsid w:val="00C20954"/>
    <w:rsid w:val="00C20BD9"/>
    <w:rsid w:val="00C308DB"/>
    <w:rsid w:val="00C51810"/>
    <w:rsid w:val="00C53945"/>
    <w:rsid w:val="00C600C1"/>
    <w:rsid w:val="00C61879"/>
    <w:rsid w:val="00C62666"/>
    <w:rsid w:val="00C70133"/>
    <w:rsid w:val="00C8222F"/>
    <w:rsid w:val="00C85342"/>
    <w:rsid w:val="00C968CF"/>
    <w:rsid w:val="00CB3A8D"/>
    <w:rsid w:val="00CB3FFF"/>
    <w:rsid w:val="00CB6400"/>
    <w:rsid w:val="00CC0CB7"/>
    <w:rsid w:val="00CC2453"/>
    <w:rsid w:val="00CC3003"/>
    <w:rsid w:val="00CC3CBA"/>
    <w:rsid w:val="00CC58D3"/>
    <w:rsid w:val="00CE157A"/>
    <w:rsid w:val="00CE2990"/>
    <w:rsid w:val="00CF1336"/>
    <w:rsid w:val="00CF21B0"/>
    <w:rsid w:val="00CF548B"/>
    <w:rsid w:val="00D05D8F"/>
    <w:rsid w:val="00D213CB"/>
    <w:rsid w:val="00D256C5"/>
    <w:rsid w:val="00D25A7C"/>
    <w:rsid w:val="00D536B1"/>
    <w:rsid w:val="00D54345"/>
    <w:rsid w:val="00D7230C"/>
    <w:rsid w:val="00D80328"/>
    <w:rsid w:val="00D878D4"/>
    <w:rsid w:val="00D9112A"/>
    <w:rsid w:val="00D92413"/>
    <w:rsid w:val="00D94B17"/>
    <w:rsid w:val="00DA7FA6"/>
    <w:rsid w:val="00DC5A7A"/>
    <w:rsid w:val="00DD099C"/>
    <w:rsid w:val="00DD672E"/>
    <w:rsid w:val="00DD6EDB"/>
    <w:rsid w:val="00DE14B2"/>
    <w:rsid w:val="00DE4590"/>
    <w:rsid w:val="00DE54CF"/>
    <w:rsid w:val="00DF1F23"/>
    <w:rsid w:val="00DF7320"/>
    <w:rsid w:val="00E002B0"/>
    <w:rsid w:val="00E0227E"/>
    <w:rsid w:val="00E10DFC"/>
    <w:rsid w:val="00E20575"/>
    <w:rsid w:val="00E2368E"/>
    <w:rsid w:val="00E23A8D"/>
    <w:rsid w:val="00E3190E"/>
    <w:rsid w:val="00E47565"/>
    <w:rsid w:val="00E566A3"/>
    <w:rsid w:val="00E61C29"/>
    <w:rsid w:val="00E65194"/>
    <w:rsid w:val="00E7471C"/>
    <w:rsid w:val="00E81579"/>
    <w:rsid w:val="00E81F8B"/>
    <w:rsid w:val="00E82F74"/>
    <w:rsid w:val="00E96301"/>
    <w:rsid w:val="00EA5A5D"/>
    <w:rsid w:val="00EA7B93"/>
    <w:rsid w:val="00EB6A9B"/>
    <w:rsid w:val="00EC2A2B"/>
    <w:rsid w:val="00EC48AC"/>
    <w:rsid w:val="00EC6968"/>
    <w:rsid w:val="00ED41D7"/>
    <w:rsid w:val="00ED489D"/>
    <w:rsid w:val="00EE338D"/>
    <w:rsid w:val="00EF370F"/>
    <w:rsid w:val="00F0104C"/>
    <w:rsid w:val="00F130BF"/>
    <w:rsid w:val="00F320AB"/>
    <w:rsid w:val="00F52027"/>
    <w:rsid w:val="00F556AC"/>
    <w:rsid w:val="00F56030"/>
    <w:rsid w:val="00F638C8"/>
    <w:rsid w:val="00F6474D"/>
    <w:rsid w:val="00F64A2F"/>
    <w:rsid w:val="00F93E8C"/>
    <w:rsid w:val="00F94A40"/>
    <w:rsid w:val="00F96752"/>
    <w:rsid w:val="00FA34C9"/>
    <w:rsid w:val="00FA45C9"/>
    <w:rsid w:val="00FA525B"/>
    <w:rsid w:val="00FB2164"/>
    <w:rsid w:val="00FB3A50"/>
    <w:rsid w:val="00FB5882"/>
    <w:rsid w:val="00FC2A54"/>
    <w:rsid w:val="00FC4C13"/>
    <w:rsid w:val="00FD2392"/>
    <w:rsid w:val="00FD3C2C"/>
    <w:rsid w:val="00FE3D7D"/>
    <w:rsid w:val="00FE3E1D"/>
    <w:rsid w:val="00FE4A4E"/>
  </w:rsids>
  <m:mathPr>
    <m:mathFont m:val="Cambria Math"/>
    <m:smallFrac/>
  </m:mathPr>
  <w:themeFontLang w:val="tr-TR"/>
  <w:clrSchemeMapping w:bg1="light1" w:t1="dark1" w:bg2="light2" w:t2="dark2" w:accent1="accent1" w:accent2="accent2" w:accent3="accent3" w:accent4="accent4" w:accent5="accent5" w:accent6="accent6" w:hyperlink="hyperlink" w:followedHyperlink="followedHyperlink"/>
  <w:doNotIncludeSubdocsInStats/>
  <w14:docId w14:val="05CC8F91"/>
  <w15:docId w15:val="{0BD86CD7-8067-492F-98E6-C3CD7E6A1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01B3"/>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0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onMetniChar"/>
    <w:rsid w:val="00B70BFD"/>
    <w:rPr>
      <w:rFonts w:ascii="Tahoma" w:hAnsi="Tahoma" w:cs="Tahoma"/>
      <w:sz w:val="16"/>
      <w:szCs w:val="16"/>
    </w:rPr>
  </w:style>
  <w:style w:type="character" w:customStyle="1" w:styleId="BalonMetniChar">
    <w:name w:val="Balon Metni Char"/>
    <w:link w:val="BalloonText"/>
    <w:rsid w:val="00B70BFD"/>
    <w:rPr>
      <w:rFonts w:ascii="Tahoma" w:hAnsi="Tahoma" w:cs="Tahoma"/>
      <w:sz w:val="16"/>
      <w:szCs w:val="16"/>
    </w:rPr>
  </w:style>
  <w:style w:type="paragraph" w:styleId="ListParagraph">
    <w:name w:val="List Paragraph"/>
    <w:basedOn w:val="Normal"/>
    <w:uiPriority w:val="34"/>
    <w:qFormat/>
    <w:rsid w:val="00C968CF"/>
    <w:pPr>
      <w:ind w:left="708"/>
    </w:pPr>
  </w:style>
  <w:style w:type="paragraph" w:styleId="Header">
    <w:name w:val="header"/>
    <w:basedOn w:val="Normal"/>
    <w:link w:val="stBilgiChar"/>
    <w:uiPriority w:val="99"/>
    <w:rsid w:val="00BA2DF4"/>
    <w:pPr>
      <w:tabs>
        <w:tab w:val="center" w:pos="4680"/>
        <w:tab w:val="right" w:pos="9360"/>
      </w:tabs>
    </w:pPr>
  </w:style>
  <w:style w:type="character" w:customStyle="1" w:styleId="stBilgiChar">
    <w:name w:val="Üst Bilgi Char"/>
    <w:basedOn w:val="DefaultParagraphFont"/>
    <w:link w:val="Header"/>
    <w:uiPriority w:val="99"/>
    <w:rsid w:val="00BA2DF4"/>
  </w:style>
  <w:style w:type="paragraph" w:styleId="Footer">
    <w:name w:val="footer"/>
    <w:basedOn w:val="Normal"/>
    <w:link w:val="AltBilgiChar"/>
    <w:uiPriority w:val="99"/>
    <w:rsid w:val="00BA2DF4"/>
    <w:pPr>
      <w:tabs>
        <w:tab w:val="center" w:pos="4680"/>
        <w:tab w:val="right" w:pos="9360"/>
      </w:tabs>
    </w:pPr>
  </w:style>
  <w:style w:type="character" w:customStyle="1" w:styleId="AltBilgiChar">
    <w:name w:val="Alt Bilgi Char"/>
    <w:basedOn w:val="DefaultParagraphFont"/>
    <w:link w:val="Footer"/>
    <w:uiPriority w:val="99"/>
    <w:rsid w:val="00BA2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534</Words>
  <Characters>3048</Characters>
  <Application>Microsoft Office Word</Application>
  <DocSecurity>0</DocSecurity>
  <Lines>25</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OG+AG ELEKTRİK ŞEBEKESİNİN DEPLASE EDİLEMSİ</vt:lpstr>
      <vt:lpstr>OG+AG ELEKTRİK ŞEBEKESİNİN DEPLASE EDİLEMSİ</vt:lpstr>
    </vt:vector>
  </TitlesOfParts>
  <Company>Master</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OG+AG ELEKTRİK ŞEBEKESİNİN DEPLASE EDİLEMSİ</dc:title>
  <dc:creator>Master</dc:creator>
  <cp:lastModifiedBy>Bulut Yılmaz</cp:lastModifiedBy>
  <cp:revision>8</cp:revision>
  <cp:lastPrinted>2013-12-16T06:55:00Z</cp:lastPrinted>
  <dcterms:created xsi:type="dcterms:W3CDTF">2021-02-03T07:18:00Z</dcterms:created>
  <dcterms:modified xsi:type="dcterms:W3CDTF">2023-08-24T13:21:00Z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eabcb5-00e4-403a-8705-489822179bfa_ActionId">
    <vt:lpwstr>6d5580de-528e-470c-bcac-450bf0cabe9e</vt:lpwstr>
  </property>
  <property fmtid="{D5CDD505-2E9C-101B-9397-08002B2CF9AE}" pid="3" name="MSIP_Label_f1eabcb5-00e4-403a-8705-489822179bfa_ContentBits">
    <vt:lpwstr>1</vt:lpwstr>
  </property>
  <property fmtid="{D5CDD505-2E9C-101B-9397-08002B2CF9AE}" pid="4" name="MSIP_Label_f1eabcb5-00e4-403a-8705-489822179bfa_Enabled">
    <vt:lpwstr>true</vt:lpwstr>
  </property>
  <property fmtid="{D5CDD505-2E9C-101B-9397-08002B2CF9AE}" pid="5" name="MSIP_Label_f1eabcb5-00e4-403a-8705-489822179bfa_Method">
    <vt:lpwstr>Privileged</vt:lpwstr>
  </property>
  <property fmtid="{D5CDD505-2E9C-101B-9397-08002B2CF9AE}" pid="6" name="MSIP_Label_f1eabcb5-00e4-403a-8705-489822179bfa_Name">
    <vt:lpwstr>Genel</vt:lpwstr>
  </property>
  <property fmtid="{D5CDD505-2E9C-101B-9397-08002B2CF9AE}" pid="7" name="MSIP_Label_f1eabcb5-00e4-403a-8705-489822179bfa_SetDate">
    <vt:lpwstr>2023-04-27T07:42:06Z</vt:lpwstr>
  </property>
  <property fmtid="{D5CDD505-2E9C-101B-9397-08002B2CF9AE}" pid="8" name="MSIP_Label_f1eabcb5-00e4-403a-8705-489822179bfa_SiteId">
    <vt:lpwstr>a847a8ee-5a77-45b9-8ed6-8341eb0d0c7d</vt:lpwstr>
  </property>
</Properties>
</file>